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center"/>
        <w:rPr>
          <w:rFonts w:ascii="黑体" w:eastAsia="黑体" w:hAnsi="黑体"/>
          <w:sz w:val="44"/>
          <w:szCs w:val="44"/>
        </w:rPr>
      </w:pPr>
      <w:r>
        <w:rPr>
          <w:rFonts w:ascii="黑体" w:eastAsia="黑体" w:hAnsi="黑体" w:hint="eastAsia"/>
          <w:sz w:val="44"/>
          <w:szCs w:val="44"/>
        </w:rPr>
        <w:t>赣州四中招标代理机构遴选</w:t>
      </w:r>
      <w:r>
        <w:rPr>
          <w:rFonts w:ascii="黑体" w:eastAsia="黑体" w:hAnsi="黑体" w:hint="eastAsia"/>
          <w:sz w:val="44"/>
          <w:szCs w:val="44"/>
        </w:rPr>
        <w:t>入库公告</w:t>
      </w:r>
    </w:p>
    <w:p>
      <w:pPr>
        <w:pStyle w:val="style0"/>
        <w:spacing w:lineRule="auto" w:line="360"/>
        <w:rPr/>
      </w:pPr>
    </w:p>
    <w:p>
      <w:pPr>
        <w:pStyle w:val="style0"/>
        <w:spacing w:lineRule="auto" w:line="360"/>
        <w:ind w:firstLine="640" w:firstLineChars="200"/>
        <w:rPr>
          <w:rFonts w:ascii="黑体" w:eastAsia="黑体" w:hAnsi="黑体"/>
          <w:sz w:val="32"/>
          <w:szCs w:val="32"/>
        </w:rPr>
      </w:pPr>
      <w:r>
        <w:rPr>
          <w:rFonts w:ascii="黑体" w:eastAsia="黑体" w:hAnsi="黑体" w:hint="eastAsia"/>
          <w:bCs/>
          <w:sz w:val="32"/>
          <w:szCs w:val="32"/>
        </w:rPr>
        <w:t>一、项目简介</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根据《赣州市第四中学招标机构代理管理办法》，</w:t>
      </w:r>
      <w:r>
        <w:rPr>
          <w:rFonts w:ascii="仿宋" w:eastAsia="仿宋" w:hAnsi="仿宋" w:hint="eastAsia"/>
          <w:sz w:val="32"/>
          <w:szCs w:val="32"/>
        </w:rPr>
        <w:t>赣州市第四中学</w:t>
      </w:r>
      <w:r>
        <w:rPr>
          <w:rFonts w:ascii="仿宋" w:eastAsia="仿宋" w:hAnsi="仿宋" w:hint="eastAsia"/>
          <w:sz w:val="32"/>
          <w:szCs w:val="32"/>
        </w:rPr>
        <w:t>拟通过公开方式遴选一批招标代理</w:t>
      </w:r>
      <w:r>
        <w:rPr>
          <w:rFonts w:ascii="仿宋" w:eastAsia="仿宋" w:hAnsi="仿宋" w:hint="eastAsia"/>
          <w:sz w:val="32"/>
          <w:szCs w:val="32"/>
        </w:rPr>
        <w:t>机构</w:t>
      </w:r>
      <w:r>
        <w:rPr>
          <w:rFonts w:ascii="仿宋" w:eastAsia="仿宋" w:hAnsi="仿宋" w:hint="eastAsia"/>
          <w:sz w:val="32"/>
          <w:szCs w:val="32"/>
        </w:rPr>
        <w:t>，建立适用于赣州市第四中学组织的政府采购范围内的工程项目、货物采购招标代理</w:t>
      </w:r>
      <w:r>
        <w:rPr>
          <w:rFonts w:ascii="仿宋" w:eastAsia="仿宋" w:hAnsi="仿宋" w:hint="eastAsia"/>
          <w:sz w:val="32"/>
          <w:szCs w:val="32"/>
        </w:rPr>
        <w:t>服务</w:t>
      </w:r>
      <w:r>
        <w:rPr>
          <w:rFonts w:ascii="仿宋" w:eastAsia="仿宋" w:hAnsi="仿宋" w:hint="eastAsia"/>
          <w:sz w:val="32"/>
          <w:szCs w:val="32"/>
        </w:rPr>
        <w:t>数据</w:t>
      </w:r>
      <w:r>
        <w:rPr>
          <w:rFonts w:ascii="仿宋" w:eastAsia="仿宋" w:hAnsi="仿宋" w:hint="eastAsia"/>
          <w:sz w:val="32"/>
          <w:szCs w:val="32"/>
        </w:rPr>
        <w:t>库，欢迎符合条件的</w:t>
      </w:r>
      <w:r>
        <w:rPr>
          <w:rFonts w:ascii="仿宋" w:eastAsia="仿宋" w:hAnsi="仿宋" w:hint="eastAsia"/>
          <w:sz w:val="32"/>
          <w:szCs w:val="32"/>
        </w:rPr>
        <w:t>机构</w:t>
      </w:r>
      <w:r>
        <w:rPr>
          <w:rFonts w:ascii="仿宋" w:eastAsia="仿宋" w:hAnsi="仿宋" w:hint="eastAsia"/>
          <w:sz w:val="32"/>
          <w:szCs w:val="32"/>
        </w:rPr>
        <w:t>参与竞选。</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本项目名称：赣州市第四中学招标代理机构遴选。</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遴选单位数量：本次遴选目的是</w:t>
      </w:r>
      <w:r>
        <w:rPr>
          <w:rFonts w:ascii="仿宋" w:eastAsia="仿宋" w:hAnsi="仿宋" w:hint="eastAsia"/>
          <w:sz w:val="32"/>
          <w:szCs w:val="32"/>
        </w:rPr>
        <w:t>从报名的10家或以上的招标代理公司中</w:t>
      </w:r>
      <w:r>
        <w:rPr>
          <w:rFonts w:ascii="仿宋" w:eastAsia="仿宋" w:hAnsi="仿宋" w:hint="eastAsia"/>
          <w:sz w:val="32"/>
          <w:szCs w:val="32"/>
        </w:rPr>
        <w:t>遴选</w:t>
      </w:r>
      <w:r>
        <w:rPr>
          <w:rFonts w:ascii="仿宋" w:eastAsia="仿宋" w:hAnsi="仿宋" w:hint="eastAsia"/>
          <w:sz w:val="32"/>
          <w:szCs w:val="32"/>
        </w:rPr>
        <w:t>5家</w:t>
      </w:r>
      <w:r>
        <w:rPr>
          <w:rFonts w:ascii="仿宋" w:eastAsia="仿宋" w:hAnsi="仿宋" w:hint="eastAsia"/>
          <w:sz w:val="32"/>
          <w:szCs w:val="32"/>
        </w:rPr>
        <w:t>优质的招标代理公司并建立数据库，</w:t>
      </w:r>
      <w:r>
        <w:rPr>
          <w:rFonts w:ascii="仿宋" w:eastAsia="仿宋" w:hAnsi="仿宋" w:hint="eastAsia"/>
          <w:sz w:val="32"/>
          <w:szCs w:val="32"/>
        </w:rPr>
        <w:t>入库名单</w:t>
      </w:r>
      <w:r>
        <w:rPr>
          <w:rFonts w:ascii="仿宋" w:eastAsia="仿宋" w:hAnsi="仿宋" w:hint="eastAsia"/>
          <w:sz w:val="32"/>
          <w:szCs w:val="32"/>
        </w:rPr>
        <w:t>由评审委员会根据评审</w:t>
      </w:r>
      <w:r>
        <w:rPr>
          <w:rFonts w:ascii="仿宋" w:eastAsia="仿宋" w:hAnsi="仿宋" w:hint="eastAsia"/>
          <w:sz w:val="32"/>
          <w:szCs w:val="32"/>
        </w:rPr>
        <w:t>得分</w:t>
      </w:r>
      <w:r>
        <w:rPr>
          <w:rFonts w:ascii="仿宋" w:eastAsia="仿宋" w:hAnsi="仿宋" w:hint="eastAsia"/>
          <w:sz w:val="32"/>
          <w:szCs w:val="32"/>
        </w:rPr>
        <w:t>结果</w:t>
      </w:r>
      <w:r>
        <w:rPr>
          <w:rFonts w:ascii="仿宋" w:eastAsia="仿宋" w:hAnsi="仿宋" w:hint="eastAsia"/>
          <w:sz w:val="32"/>
          <w:szCs w:val="32"/>
        </w:rPr>
        <w:t>由高到低排序</w:t>
      </w:r>
      <w:r>
        <w:rPr>
          <w:rFonts w:ascii="仿宋" w:eastAsia="仿宋" w:hAnsi="仿宋" w:hint="eastAsia"/>
          <w:sz w:val="32"/>
          <w:szCs w:val="32"/>
        </w:rPr>
        <w:t>决定。</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风险提示：</w:t>
      </w:r>
      <w:r>
        <w:rPr>
          <w:rFonts w:ascii="仿宋" w:eastAsia="仿宋" w:hAnsi="仿宋" w:hint="eastAsia"/>
          <w:sz w:val="32"/>
          <w:szCs w:val="32"/>
        </w:rPr>
        <w:t>学</w:t>
      </w:r>
      <w:r>
        <w:rPr>
          <w:rFonts w:ascii="仿宋" w:eastAsia="仿宋" w:hAnsi="仿宋" w:hint="eastAsia"/>
          <w:sz w:val="32"/>
          <w:szCs w:val="32"/>
        </w:rPr>
        <w:t>校不保证入围的每一家单位都能获得委托项目，本次遴选响应人所有费用自理，请参与遴选人充分理解并评估风险。</w:t>
      </w:r>
    </w:p>
    <w:p>
      <w:pPr>
        <w:pStyle w:val="style0"/>
        <w:spacing w:lineRule="auto" w:line="360"/>
        <w:ind w:firstLine="640" w:firstLineChars="200"/>
        <w:rPr>
          <w:rFonts w:ascii="黑体" w:eastAsia="黑体" w:hAnsi="黑体"/>
          <w:bCs/>
          <w:sz w:val="32"/>
          <w:szCs w:val="32"/>
        </w:rPr>
      </w:pPr>
      <w:r>
        <w:rPr>
          <w:rFonts w:ascii="黑体" w:eastAsia="黑体" w:hAnsi="黑体" w:hint="eastAsia"/>
          <w:bCs/>
          <w:sz w:val="32"/>
          <w:szCs w:val="32"/>
        </w:rPr>
        <w:t>二、学</w:t>
      </w:r>
      <w:r>
        <w:rPr>
          <w:rFonts w:ascii="黑体" w:eastAsia="黑体" w:hAnsi="黑体" w:hint="eastAsia"/>
          <w:bCs/>
          <w:sz w:val="32"/>
          <w:szCs w:val="32"/>
        </w:rPr>
        <w:t>校对招标代理服务的要求</w:t>
      </w:r>
    </w:p>
    <w:p>
      <w:pPr>
        <w:pStyle w:val="style0"/>
        <w:spacing w:after="99" w:lineRule="auto" w:line="360"/>
        <w:ind w:firstLine="643" w:firstLineChars="200"/>
        <w:jc w:val="left"/>
        <w:rPr>
          <w:rFonts w:ascii="仿宋" w:eastAsia="仿宋" w:hAnsi="仿宋"/>
          <w:b/>
          <w:bCs/>
          <w:color w:val="000000"/>
          <w:sz w:val="32"/>
          <w:szCs w:val="32"/>
        </w:rPr>
      </w:pPr>
      <w:r>
        <w:rPr>
          <w:rFonts w:ascii="仿宋" w:eastAsia="仿宋" w:hAnsi="仿宋" w:hint="eastAsia"/>
          <w:b/>
          <w:bCs/>
          <w:color w:val="000000"/>
          <w:sz w:val="32"/>
          <w:szCs w:val="32"/>
        </w:rPr>
        <w:t>（一）招标代理服务单位必须具备的资格资质</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单位具有独立法人资格且营业执照经营范围包含招标代理、</w:t>
      </w:r>
      <w:r>
        <w:rPr>
          <w:rFonts w:ascii="仿宋" w:eastAsia="仿宋" w:hAnsi="仿宋" w:hint="eastAsia"/>
          <w:sz w:val="32"/>
          <w:szCs w:val="32"/>
        </w:rPr>
        <w:t xml:space="preserve">工程造价咨询方面的业务； </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2.具有</w:t>
      </w:r>
      <w:r>
        <w:rPr>
          <w:rFonts w:ascii="仿宋" w:cs="Times New Roman" w:eastAsia="仿宋" w:hAnsi="仿宋"/>
          <w:sz w:val="32"/>
          <w:szCs w:val="32"/>
        </w:rPr>
        <w:t>招标代理</w:t>
      </w:r>
      <w:r>
        <w:rPr>
          <w:rFonts w:ascii="仿宋" w:cs="Times New Roman" w:eastAsia="仿宋" w:hAnsi="仿宋" w:hint="eastAsia"/>
          <w:sz w:val="32"/>
          <w:szCs w:val="32"/>
        </w:rPr>
        <w:t>资质或者</w:t>
      </w:r>
      <w:r>
        <w:rPr>
          <w:rFonts w:ascii="仿宋" w:eastAsia="仿宋" w:hAnsi="仿宋" w:hint="eastAsia"/>
          <w:sz w:val="32"/>
          <w:szCs w:val="32"/>
        </w:rPr>
        <w:t xml:space="preserve">造价咨询资质、公司具有强大的造价团队和造价能力； </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具有一定的资产、财务能力及赔偿能力</w:t>
      </w:r>
      <w:r>
        <w:rPr>
          <w:rFonts w:ascii="仿宋" w:eastAsia="仿宋" w:hAnsi="仿宋" w:hint="eastAsia"/>
          <w:sz w:val="32"/>
          <w:szCs w:val="32"/>
        </w:rPr>
        <w:t>；</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4.</w:t>
      </w:r>
      <w:r>
        <w:rPr>
          <w:rFonts w:ascii="仿宋" w:eastAsia="仿宋" w:hAnsi="仿宋"/>
          <w:sz w:val="32"/>
          <w:szCs w:val="32"/>
        </w:rPr>
        <w:t>具有一定社会影响和良好的信誉</w:t>
      </w:r>
      <w:r>
        <w:rPr>
          <w:rFonts w:ascii="仿宋" w:eastAsia="仿宋" w:hAnsi="仿宋"/>
          <w:sz w:val="32"/>
          <w:szCs w:val="32"/>
        </w:rPr>
        <w:t>，无失信或者其他违法记录</w:t>
      </w:r>
      <w:r>
        <w:rPr>
          <w:rFonts w:ascii="仿宋" w:eastAsia="仿宋" w:hAnsi="仿宋"/>
          <w:sz w:val="32"/>
          <w:szCs w:val="32"/>
        </w:rPr>
        <w:t>。</w:t>
      </w:r>
    </w:p>
    <w:p>
      <w:pPr>
        <w:pStyle w:val="style0"/>
        <w:spacing w:lineRule="auto" w:line="360"/>
        <w:ind w:firstLine="321" w:firstLineChars="100"/>
        <w:rPr>
          <w:rFonts w:ascii="仿宋" w:eastAsia="仿宋" w:hAnsi="仿宋"/>
          <w:b/>
          <w:bCs/>
          <w:sz w:val="32"/>
          <w:szCs w:val="32"/>
        </w:rPr>
      </w:pPr>
      <w:r>
        <w:rPr>
          <w:rFonts w:ascii="仿宋" w:eastAsia="仿宋" w:hAnsi="仿宋" w:hint="eastAsia"/>
          <w:b/>
          <w:bCs/>
          <w:sz w:val="32"/>
          <w:szCs w:val="32"/>
        </w:rPr>
        <w:t>（二）工作服务要求</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1.招标师应该具备很强的专业素养，具有很强的文字能力、逻辑思维能力、组织能力、沟通协调能力，能实质性地解决各种问题。</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2.土建造价和安装造价必须有责任心、业务能力强、具有执业资格证书并且有丰富清单编制经验和较强的造价能力的造价工程师</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以上是最低要求，具体项目还会有针对项目特点的要求，</w:t>
      </w:r>
      <w:r>
        <w:rPr>
          <w:rFonts w:ascii="仿宋" w:eastAsia="仿宋" w:hAnsi="仿宋" w:hint="eastAsia"/>
          <w:sz w:val="32"/>
          <w:szCs w:val="32"/>
        </w:rPr>
        <w:t>具体</w:t>
      </w:r>
      <w:r>
        <w:rPr>
          <w:rFonts w:ascii="仿宋" w:eastAsia="仿宋" w:hAnsi="仿宋" w:hint="eastAsia"/>
          <w:sz w:val="32"/>
          <w:szCs w:val="32"/>
        </w:rPr>
        <w:t>增加的</w:t>
      </w:r>
      <w:r>
        <w:rPr>
          <w:rFonts w:ascii="仿宋" w:eastAsia="仿宋" w:hAnsi="仿宋" w:hint="eastAsia"/>
          <w:sz w:val="32"/>
          <w:szCs w:val="32"/>
        </w:rPr>
        <w:t>工作内容</w:t>
      </w:r>
      <w:r>
        <w:rPr>
          <w:rFonts w:ascii="仿宋" w:eastAsia="仿宋" w:hAnsi="仿宋" w:hint="eastAsia"/>
          <w:sz w:val="32"/>
          <w:szCs w:val="32"/>
        </w:rPr>
        <w:t>在</w:t>
      </w:r>
      <w:r>
        <w:rPr>
          <w:rFonts w:ascii="仿宋" w:eastAsia="仿宋" w:hAnsi="仿宋" w:hint="eastAsia"/>
          <w:sz w:val="32"/>
          <w:szCs w:val="32"/>
        </w:rPr>
        <w:t>委托工作时具体约定。</w:t>
      </w:r>
    </w:p>
    <w:p>
      <w:pPr>
        <w:pStyle w:val="style0"/>
        <w:spacing w:lineRule="auto" w:line="360"/>
        <w:ind w:firstLine="640" w:firstLineChars="200"/>
        <w:rPr>
          <w:rFonts w:ascii="黑体" w:eastAsia="黑体" w:hAnsi="黑体"/>
          <w:bCs/>
          <w:sz w:val="32"/>
          <w:szCs w:val="32"/>
        </w:rPr>
      </w:pPr>
      <w:r>
        <w:rPr>
          <w:rFonts w:ascii="黑体" w:eastAsia="黑体" w:hAnsi="黑体" w:hint="eastAsia"/>
          <w:bCs/>
          <w:sz w:val="32"/>
          <w:szCs w:val="32"/>
        </w:rPr>
        <w:t>三、</w:t>
      </w:r>
      <w:r>
        <w:rPr>
          <w:rFonts w:ascii="黑体" w:eastAsia="黑体" w:hAnsi="黑体" w:hint="eastAsia"/>
          <w:bCs/>
          <w:sz w:val="32"/>
          <w:szCs w:val="32"/>
        </w:rPr>
        <w:t>服务工作内容和服务费用</w:t>
      </w:r>
    </w:p>
    <w:tbl>
      <w:tblPr>
        <w:tblW w:w="8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961"/>
        <w:gridCol w:w="1898"/>
        <w:gridCol w:w="850"/>
        <w:gridCol w:w="1418"/>
        <w:gridCol w:w="1511"/>
      </w:tblGrid>
      <w:tr>
        <w:trPr/>
        <w:tc>
          <w:tcPr>
            <w:tcW w:w="644" w:type="dxa"/>
            <w:tcBorders/>
          </w:tcPr>
          <w:p>
            <w:pPr>
              <w:pStyle w:val="style0"/>
              <w:spacing w:lineRule="auto" w:line="360"/>
              <w:jc w:val="center"/>
              <w:rPr>
                <w:rFonts w:ascii="仿宋" w:eastAsia="仿宋" w:hAnsi="仿宋"/>
                <w:b/>
                <w:bCs/>
                <w:sz w:val="32"/>
                <w:szCs w:val="32"/>
              </w:rPr>
            </w:pPr>
            <w:r>
              <w:rPr>
                <w:rFonts w:ascii="仿宋" w:eastAsia="仿宋" w:hAnsi="仿宋" w:hint="eastAsia"/>
                <w:b/>
                <w:bCs/>
                <w:sz w:val="32"/>
                <w:szCs w:val="32"/>
              </w:rPr>
              <w:t>序号</w:t>
            </w:r>
          </w:p>
        </w:tc>
        <w:tc>
          <w:tcPr>
            <w:tcW w:w="1961" w:type="dxa"/>
            <w:tcBorders/>
          </w:tcPr>
          <w:p>
            <w:pPr>
              <w:pStyle w:val="style0"/>
              <w:spacing w:lineRule="auto" w:line="360"/>
              <w:jc w:val="center"/>
              <w:rPr>
                <w:rFonts w:ascii="仿宋" w:eastAsia="仿宋" w:hAnsi="仿宋"/>
                <w:b/>
                <w:bCs/>
                <w:sz w:val="32"/>
                <w:szCs w:val="32"/>
              </w:rPr>
            </w:pPr>
            <w:r>
              <w:rPr>
                <w:rFonts w:ascii="仿宋" w:eastAsia="仿宋" w:hAnsi="仿宋" w:hint="eastAsia"/>
                <w:b/>
                <w:bCs/>
                <w:sz w:val="32"/>
                <w:szCs w:val="32"/>
              </w:rPr>
              <w:t>工作项目名称</w:t>
            </w:r>
          </w:p>
        </w:tc>
        <w:tc>
          <w:tcPr>
            <w:tcW w:w="1898" w:type="dxa"/>
            <w:tcBorders/>
          </w:tcPr>
          <w:p>
            <w:pPr>
              <w:pStyle w:val="style0"/>
              <w:spacing w:lineRule="auto" w:line="360"/>
              <w:jc w:val="center"/>
              <w:rPr>
                <w:rFonts w:ascii="仿宋" w:eastAsia="仿宋" w:hAnsi="仿宋"/>
                <w:b/>
                <w:bCs/>
                <w:sz w:val="32"/>
                <w:szCs w:val="32"/>
              </w:rPr>
            </w:pPr>
            <w:r>
              <w:rPr>
                <w:rFonts w:ascii="仿宋" w:eastAsia="仿宋" w:hAnsi="仿宋" w:hint="eastAsia"/>
                <w:b/>
                <w:bCs/>
                <w:sz w:val="32"/>
                <w:szCs w:val="32"/>
              </w:rPr>
              <w:t>取费基数</w:t>
            </w:r>
          </w:p>
        </w:tc>
        <w:tc>
          <w:tcPr>
            <w:tcW w:w="850" w:type="dxa"/>
            <w:tcBorders/>
          </w:tcPr>
          <w:p>
            <w:pPr>
              <w:pStyle w:val="style0"/>
              <w:spacing w:lineRule="auto" w:line="360"/>
              <w:jc w:val="center"/>
              <w:rPr>
                <w:rFonts w:ascii="仿宋" w:eastAsia="仿宋" w:hAnsi="仿宋"/>
                <w:b/>
                <w:bCs/>
                <w:sz w:val="32"/>
                <w:szCs w:val="32"/>
              </w:rPr>
            </w:pPr>
            <w:r>
              <w:rPr>
                <w:rFonts w:ascii="仿宋" w:eastAsia="仿宋" w:hAnsi="仿宋" w:hint="eastAsia"/>
                <w:b/>
                <w:bCs/>
                <w:sz w:val="32"/>
                <w:szCs w:val="32"/>
              </w:rPr>
              <w:t>计费依据</w:t>
            </w:r>
          </w:p>
        </w:tc>
        <w:tc>
          <w:tcPr>
            <w:tcW w:w="1418" w:type="dxa"/>
            <w:tcBorders/>
          </w:tcPr>
          <w:p>
            <w:pPr>
              <w:pStyle w:val="style0"/>
              <w:spacing w:lineRule="auto" w:line="360"/>
              <w:jc w:val="center"/>
              <w:rPr>
                <w:rFonts w:ascii="仿宋" w:eastAsia="仿宋" w:hAnsi="仿宋"/>
                <w:b/>
                <w:bCs/>
                <w:sz w:val="32"/>
                <w:szCs w:val="32"/>
              </w:rPr>
            </w:pPr>
            <w:r>
              <w:rPr>
                <w:rFonts w:ascii="仿宋" w:eastAsia="仿宋" w:hAnsi="仿宋" w:hint="eastAsia"/>
                <w:b/>
                <w:bCs/>
                <w:sz w:val="32"/>
                <w:szCs w:val="32"/>
              </w:rPr>
              <w:t>最低下浮率下限（%）</w:t>
            </w:r>
          </w:p>
        </w:tc>
        <w:tc>
          <w:tcPr>
            <w:tcW w:w="1511" w:type="dxa"/>
            <w:tcBorders/>
          </w:tcPr>
          <w:p>
            <w:pPr>
              <w:pStyle w:val="style0"/>
              <w:spacing w:lineRule="auto" w:line="360"/>
              <w:jc w:val="center"/>
              <w:rPr>
                <w:rFonts w:ascii="仿宋" w:eastAsia="仿宋" w:hAnsi="仿宋"/>
                <w:b/>
                <w:bCs/>
                <w:sz w:val="32"/>
                <w:szCs w:val="32"/>
              </w:rPr>
            </w:pPr>
            <w:r>
              <w:rPr>
                <w:rFonts w:ascii="仿宋" w:eastAsia="仿宋" w:hAnsi="仿宋" w:hint="eastAsia"/>
                <w:b/>
                <w:bCs/>
                <w:sz w:val="32"/>
                <w:szCs w:val="32"/>
              </w:rPr>
              <w:t>自报下费率（%）和最低服务费</w:t>
            </w:r>
          </w:p>
        </w:tc>
      </w:tr>
      <w:tr>
        <w:tblPrEx/>
        <w:trPr>
          <w:trHeight w:val="487" w:hRule="atLeast"/>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1</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设计招标</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估算投资</w:t>
            </w:r>
          </w:p>
        </w:tc>
        <w:tc>
          <w:tcPr>
            <w:tcW w:w="850" w:type="dxa"/>
            <w:vMerge w:val="restart"/>
            <w:tcBorders/>
          </w:tcPr>
          <w:p>
            <w:pPr>
              <w:pStyle w:val="style0"/>
              <w:spacing w:lineRule="auto" w:line="360"/>
              <w:rPr>
                <w:rStyle w:val="style85"/>
                <w:rFonts w:ascii="仿宋" w:eastAsia="仿宋" w:hAnsi="仿宋"/>
                <w:sz w:val="24"/>
                <w:szCs w:val="24"/>
              </w:rPr>
            </w:pPr>
            <w:r>
              <w:rPr/>
              <w:fldChar w:fldCharType="begin"/>
            </w:r>
            <w:r>
              <w:instrText xml:space="preserve"> HYPERLINK "https://zcxx.ecnu.edu.cn/cxwj/../download/沪建计联%5b2005%5d834号、沪价费%5b2005%5d056号.pdf" \t "https://zcxx.ecnu.edu.cn/cxwj/_blank" </w:instrText>
            </w:r>
            <w:r>
              <w:rPr/>
              <w:fldChar w:fldCharType="separate"/>
            </w:r>
            <w:r>
              <w:rPr>
                <w:rStyle w:val="style85"/>
                <w:rFonts w:ascii="仿宋" w:eastAsia="仿宋" w:hAnsi="仿宋" w:hint="eastAsia"/>
                <w:sz w:val="24"/>
                <w:szCs w:val="24"/>
              </w:rPr>
              <w:t>赣建价</w:t>
            </w:r>
            <w:r>
              <w:rPr>
                <w:rStyle w:val="style85"/>
                <w:rFonts w:ascii="仿宋" w:cs="Times New Roman" w:eastAsia="仿宋" w:hAnsi="仿宋" w:hint="eastAsia"/>
                <w:sz w:val="24"/>
                <w:szCs w:val="24"/>
              </w:rPr>
              <w:t xml:space="preserve"> [2020]2号、[2019]1号[2018]1号</w:t>
            </w:r>
            <w:r>
              <w:rPr>
                <w:rStyle w:val="style85"/>
                <w:rFonts w:ascii="仿宋" w:cs="Times New Roman" w:eastAsia="仿宋" w:hAnsi="仿宋" w:hint="eastAsia"/>
                <w:sz w:val="24"/>
                <w:szCs w:val="24"/>
              </w:rPr>
              <w:t xml:space="preserve">赣建价 [2016]3号 </w:t>
            </w:r>
            <w:r>
              <w:rPr/>
              <w:fldChar w:fldCharType="end"/>
            </w:r>
            <w:r>
              <w:rPr>
                <w:rStyle w:val="style85"/>
                <w:rFonts w:ascii="Calibri" w:cs="Times New Roman" w:eastAsia="仿宋" w:hAnsi="Calibri" w:hint="eastAsia"/>
                <w:sz w:val="24"/>
                <w:szCs w:val="24"/>
              </w:rPr>
              <w:t> </w:t>
            </w: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50</w:t>
            </w:r>
          </w:p>
        </w:tc>
        <w:tc>
          <w:tcPr>
            <w:tcW w:w="1511" w:type="dxa"/>
            <w:tcBorders/>
          </w:tcPr>
          <w:p>
            <w:pPr>
              <w:pStyle w:val="style0"/>
              <w:spacing w:lineRule="auto" w:line="360"/>
              <w:jc w:val="center"/>
              <w:rPr>
                <w:rFonts w:ascii="仿宋" w:eastAsia="仿宋" w:hAnsi="仿宋"/>
                <w:sz w:val="32"/>
                <w:szCs w:val="32"/>
              </w:rPr>
            </w:pPr>
          </w:p>
        </w:tc>
      </w:tr>
      <w:tr>
        <w:tblPrEx/>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2</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勘察招标</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估算投资</w:t>
            </w:r>
          </w:p>
        </w:tc>
        <w:tc>
          <w:tcPr>
            <w:tcW w:w="850" w:type="dxa"/>
            <w:vMerge w:val="continue"/>
            <w:tcBorders/>
          </w:tcPr>
          <w:p>
            <w:pPr>
              <w:pStyle w:val="style0"/>
              <w:spacing w:lineRule="auto" w:line="360"/>
              <w:rPr>
                <w:rStyle w:val="style85"/>
                <w:rFonts w:ascii="仿宋" w:eastAsia="仿宋" w:hAnsi="仿宋"/>
                <w:sz w:val="24"/>
                <w:szCs w:val="24"/>
              </w:rPr>
            </w:pP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50</w:t>
            </w:r>
          </w:p>
        </w:tc>
        <w:tc>
          <w:tcPr>
            <w:tcW w:w="1511" w:type="dxa"/>
            <w:tcBorders/>
          </w:tcPr>
          <w:p>
            <w:pPr>
              <w:pStyle w:val="style0"/>
              <w:spacing w:lineRule="auto" w:line="360"/>
              <w:jc w:val="center"/>
              <w:rPr>
                <w:rFonts w:ascii="仿宋" w:eastAsia="仿宋" w:hAnsi="仿宋"/>
                <w:sz w:val="32"/>
                <w:szCs w:val="32"/>
              </w:rPr>
            </w:pPr>
          </w:p>
        </w:tc>
      </w:tr>
      <w:tr>
        <w:tblPrEx/>
        <w:trPr>
          <w:trHeight w:val="1058" w:hRule="atLeast"/>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3</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施工监理招标</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建安工程造价</w:t>
            </w:r>
          </w:p>
        </w:tc>
        <w:tc>
          <w:tcPr>
            <w:tcW w:w="850" w:type="dxa"/>
            <w:vMerge w:val="continue"/>
            <w:tcBorders/>
          </w:tcPr>
          <w:p>
            <w:pPr>
              <w:pStyle w:val="style0"/>
              <w:spacing w:lineRule="auto" w:line="360"/>
              <w:rPr>
                <w:rFonts w:ascii="仿宋" w:eastAsia="仿宋" w:hAnsi="仿宋"/>
                <w:sz w:val="24"/>
                <w:szCs w:val="24"/>
              </w:rPr>
            </w:pP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40</w:t>
            </w:r>
          </w:p>
        </w:tc>
        <w:tc>
          <w:tcPr>
            <w:tcW w:w="1511" w:type="dxa"/>
            <w:tcBorders/>
          </w:tcPr>
          <w:p>
            <w:pPr>
              <w:pStyle w:val="style0"/>
              <w:spacing w:lineRule="auto" w:line="360"/>
              <w:jc w:val="center"/>
              <w:rPr>
                <w:rFonts w:ascii="仿宋" w:eastAsia="仿宋" w:hAnsi="仿宋"/>
                <w:sz w:val="32"/>
                <w:szCs w:val="32"/>
              </w:rPr>
            </w:pPr>
          </w:p>
        </w:tc>
      </w:tr>
      <w:tr>
        <w:tblPrEx/>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4</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施工总承包招标</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建安工程造价</w:t>
            </w:r>
          </w:p>
        </w:tc>
        <w:tc>
          <w:tcPr>
            <w:tcW w:w="850" w:type="dxa"/>
            <w:vMerge w:val="continue"/>
            <w:tcBorders/>
          </w:tcPr>
          <w:p>
            <w:pPr>
              <w:pStyle w:val="style0"/>
              <w:spacing w:lineRule="auto" w:line="360"/>
              <w:rPr>
                <w:rFonts w:ascii="仿宋" w:eastAsia="仿宋" w:hAnsi="仿宋"/>
                <w:sz w:val="24"/>
                <w:szCs w:val="24"/>
              </w:rPr>
            </w:pP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40</w:t>
            </w:r>
          </w:p>
        </w:tc>
        <w:tc>
          <w:tcPr>
            <w:tcW w:w="1511" w:type="dxa"/>
            <w:tcBorders/>
          </w:tcPr>
          <w:p>
            <w:pPr>
              <w:pStyle w:val="style0"/>
              <w:spacing w:lineRule="auto" w:line="360"/>
              <w:jc w:val="center"/>
              <w:rPr>
                <w:rFonts w:ascii="仿宋" w:eastAsia="仿宋" w:hAnsi="仿宋"/>
                <w:sz w:val="32"/>
                <w:szCs w:val="32"/>
              </w:rPr>
            </w:pPr>
          </w:p>
        </w:tc>
      </w:tr>
      <w:tr>
        <w:tblPrEx/>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5</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施工阶段全过程造价控制</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建安工程造价</w:t>
            </w:r>
          </w:p>
        </w:tc>
        <w:tc>
          <w:tcPr>
            <w:tcW w:w="850" w:type="dxa"/>
            <w:vMerge w:val="continue"/>
            <w:tcBorders/>
          </w:tcPr>
          <w:p>
            <w:pPr>
              <w:pStyle w:val="style0"/>
              <w:spacing w:lineRule="auto" w:line="360"/>
              <w:rPr>
                <w:rFonts w:ascii="仿宋" w:eastAsia="仿宋" w:hAnsi="仿宋"/>
                <w:sz w:val="24"/>
                <w:szCs w:val="24"/>
              </w:rPr>
            </w:pP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40</w:t>
            </w:r>
          </w:p>
        </w:tc>
        <w:tc>
          <w:tcPr>
            <w:tcW w:w="1511" w:type="dxa"/>
            <w:tcBorders/>
          </w:tcPr>
          <w:p>
            <w:pPr>
              <w:pStyle w:val="style0"/>
              <w:spacing w:lineRule="auto" w:line="360"/>
              <w:jc w:val="center"/>
              <w:rPr>
                <w:rFonts w:ascii="仿宋" w:eastAsia="仿宋" w:hAnsi="仿宋"/>
                <w:sz w:val="32"/>
                <w:szCs w:val="32"/>
              </w:rPr>
            </w:pPr>
          </w:p>
        </w:tc>
      </w:tr>
      <w:tr>
        <w:tblPrEx/>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6</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工程量清单编制</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建安工程造价</w:t>
            </w:r>
          </w:p>
        </w:tc>
        <w:tc>
          <w:tcPr>
            <w:tcW w:w="850" w:type="dxa"/>
            <w:vMerge w:val="continue"/>
            <w:tcBorders/>
          </w:tcPr>
          <w:p>
            <w:pPr>
              <w:pStyle w:val="style0"/>
              <w:spacing w:lineRule="auto" w:line="360"/>
              <w:rPr>
                <w:rFonts w:ascii="仿宋" w:eastAsia="仿宋" w:hAnsi="仿宋"/>
                <w:sz w:val="24"/>
                <w:szCs w:val="24"/>
              </w:rPr>
            </w:pP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20</w:t>
            </w:r>
          </w:p>
        </w:tc>
        <w:tc>
          <w:tcPr>
            <w:tcW w:w="1511" w:type="dxa"/>
            <w:tcBorders/>
          </w:tcPr>
          <w:p>
            <w:pPr>
              <w:pStyle w:val="style0"/>
              <w:spacing w:lineRule="auto" w:line="360"/>
              <w:jc w:val="center"/>
              <w:rPr>
                <w:rFonts w:ascii="仿宋" w:eastAsia="仿宋" w:hAnsi="仿宋"/>
                <w:sz w:val="32"/>
                <w:szCs w:val="32"/>
              </w:rPr>
            </w:pPr>
          </w:p>
        </w:tc>
      </w:tr>
      <w:tr>
        <w:tblPrEx/>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7</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最高投标限价编制</w:t>
            </w:r>
          </w:p>
        </w:tc>
        <w:tc>
          <w:tcPr>
            <w:tcW w:w="1898" w:type="dxa"/>
            <w:tcBorders/>
          </w:tcPr>
          <w:p>
            <w:pPr>
              <w:pStyle w:val="style0"/>
              <w:spacing w:lineRule="auto" w:line="360"/>
              <w:rPr>
                <w:rStyle w:val="style85"/>
                <w:rFonts w:ascii="仿宋" w:eastAsia="仿宋" w:hAnsi="仿宋"/>
                <w:sz w:val="24"/>
                <w:szCs w:val="24"/>
              </w:rPr>
            </w:pPr>
            <w:r>
              <w:rPr>
                <w:rStyle w:val="style85"/>
                <w:rFonts w:ascii="仿宋" w:eastAsia="仿宋" w:hAnsi="仿宋" w:hint="eastAsia"/>
                <w:sz w:val="24"/>
                <w:szCs w:val="24"/>
              </w:rPr>
              <w:t>建安工程造价</w:t>
            </w:r>
          </w:p>
        </w:tc>
        <w:tc>
          <w:tcPr>
            <w:tcW w:w="850" w:type="dxa"/>
            <w:vMerge w:val="continue"/>
            <w:tcBorders/>
          </w:tcPr>
          <w:p>
            <w:pPr>
              <w:pStyle w:val="style0"/>
              <w:spacing w:lineRule="auto" w:line="360"/>
              <w:rPr>
                <w:rFonts w:ascii="仿宋" w:eastAsia="仿宋" w:hAnsi="仿宋"/>
                <w:sz w:val="24"/>
                <w:szCs w:val="24"/>
              </w:rPr>
            </w:pP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20</w:t>
            </w:r>
          </w:p>
        </w:tc>
        <w:tc>
          <w:tcPr>
            <w:tcW w:w="1511" w:type="dxa"/>
            <w:tcBorders/>
          </w:tcPr>
          <w:p>
            <w:pPr>
              <w:pStyle w:val="style0"/>
              <w:spacing w:lineRule="auto" w:line="360"/>
              <w:jc w:val="center"/>
              <w:rPr>
                <w:rFonts w:ascii="仿宋" w:eastAsia="仿宋" w:hAnsi="仿宋"/>
                <w:sz w:val="32"/>
                <w:szCs w:val="32"/>
              </w:rPr>
            </w:pPr>
          </w:p>
        </w:tc>
      </w:tr>
      <w:tr>
        <w:tblPrEx/>
        <w:trPr/>
        <w:tc>
          <w:tcPr>
            <w:tcW w:w="644" w:type="dxa"/>
            <w:tcBorders/>
          </w:tcPr>
          <w:p>
            <w:pPr>
              <w:pStyle w:val="style0"/>
              <w:spacing w:lineRule="auto" w:line="360"/>
              <w:rPr>
                <w:rFonts w:ascii="仿宋" w:eastAsia="仿宋" w:hAnsi="仿宋"/>
                <w:sz w:val="24"/>
                <w:szCs w:val="24"/>
              </w:rPr>
            </w:pPr>
            <w:r>
              <w:rPr>
                <w:rFonts w:ascii="仿宋" w:eastAsia="仿宋" w:hAnsi="仿宋" w:hint="eastAsia"/>
                <w:sz w:val="24"/>
                <w:szCs w:val="24"/>
              </w:rPr>
              <w:t>8</w:t>
            </w:r>
          </w:p>
        </w:tc>
        <w:tc>
          <w:tcPr>
            <w:tcW w:w="1961" w:type="dxa"/>
            <w:tcBorders/>
          </w:tcPr>
          <w:p>
            <w:pPr>
              <w:pStyle w:val="style0"/>
              <w:spacing w:lineRule="auto" w:line="360"/>
              <w:rPr>
                <w:rFonts w:ascii="仿宋" w:eastAsia="仿宋" w:hAnsi="仿宋"/>
                <w:sz w:val="24"/>
                <w:szCs w:val="24"/>
              </w:rPr>
            </w:pPr>
            <w:r>
              <w:rPr>
                <w:rFonts w:ascii="仿宋" w:eastAsia="仿宋" w:hAnsi="仿宋" w:hint="eastAsia"/>
                <w:sz w:val="24"/>
                <w:szCs w:val="24"/>
              </w:rPr>
              <w:t>其他与工程相关的货物、服务招标</w:t>
            </w:r>
          </w:p>
        </w:tc>
        <w:tc>
          <w:tcPr>
            <w:tcW w:w="1898" w:type="dxa"/>
            <w:tcBorders/>
          </w:tcPr>
          <w:p>
            <w:pPr>
              <w:pStyle w:val="style0"/>
              <w:spacing w:lineRule="auto" w:line="360"/>
              <w:rPr>
                <w:rFonts w:ascii="仿宋" w:eastAsia="仿宋" w:hAnsi="仿宋"/>
                <w:sz w:val="24"/>
                <w:szCs w:val="24"/>
              </w:rPr>
            </w:pPr>
            <w:r>
              <w:rPr>
                <w:rFonts w:ascii="仿宋" w:eastAsia="仿宋" w:hAnsi="仿宋" w:hint="eastAsia"/>
                <w:sz w:val="24"/>
                <w:szCs w:val="24"/>
              </w:rPr>
              <w:t>中标价</w:t>
            </w:r>
          </w:p>
        </w:tc>
        <w:tc>
          <w:tcPr>
            <w:tcW w:w="850" w:type="dxa"/>
            <w:tcBorders/>
          </w:tcPr>
          <w:p>
            <w:pPr>
              <w:pStyle w:val="style0"/>
              <w:spacing w:lineRule="auto" w:line="360"/>
              <w:rPr>
                <w:rFonts w:ascii="仿宋" w:eastAsia="仿宋" w:hAnsi="仿宋"/>
                <w:sz w:val="24"/>
                <w:szCs w:val="24"/>
              </w:rPr>
            </w:pPr>
            <w:r>
              <w:rPr/>
              <w:fldChar w:fldCharType="begin"/>
            </w:r>
            <w:r>
              <w:instrText xml:space="preserve"> HYPERLINK "https://zcxx.ecnu.edu.cn/cxwj/../download/计价格%5b2002%5d1980号.pdf" \t "https://zcxx.ecnu.edu.cn/cxwj/_blank" </w:instrText>
            </w:r>
            <w:r>
              <w:rPr/>
              <w:fldChar w:fldCharType="separate"/>
            </w:r>
            <w:r>
              <w:rPr>
                <w:rStyle w:val="style85"/>
                <w:rFonts w:ascii="仿宋" w:cs="Times New Roman" w:eastAsia="仿宋" w:hAnsi="仿宋" w:hint="eastAsia"/>
                <w:sz w:val="24"/>
                <w:szCs w:val="24"/>
              </w:rPr>
              <w:t>计价格[2002]1980号</w:t>
            </w:r>
            <w:r>
              <w:rPr/>
              <w:fldChar w:fldCharType="end"/>
            </w:r>
          </w:p>
        </w:tc>
        <w:tc>
          <w:tcPr>
            <w:tcW w:w="1418" w:type="dxa"/>
            <w:tcBorders/>
          </w:tcPr>
          <w:p>
            <w:pPr>
              <w:pStyle w:val="style0"/>
              <w:spacing w:lineRule="auto" w:line="360"/>
              <w:jc w:val="center"/>
              <w:rPr>
                <w:rFonts w:ascii="仿宋" w:eastAsia="仿宋" w:hAnsi="仿宋"/>
                <w:sz w:val="24"/>
                <w:szCs w:val="24"/>
              </w:rPr>
            </w:pPr>
            <w:r>
              <w:rPr>
                <w:rFonts w:ascii="仿宋" w:eastAsia="仿宋" w:hAnsi="仿宋" w:hint="eastAsia"/>
                <w:sz w:val="24"/>
                <w:szCs w:val="24"/>
              </w:rPr>
              <w:t>30</w:t>
            </w:r>
          </w:p>
        </w:tc>
        <w:tc>
          <w:tcPr>
            <w:tcW w:w="1511" w:type="dxa"/>
            <w:tcBorders/>
          </w:tcPr>
          <w:p>
            <w:pPr>
              <w:pStyle w:val="style0"/>
              <w:spacing w:lineRule="auto" w:line="360"/>
              <w:jc w:val="center"/>
              <w:rPr>
                <w:rFonts w:ascii="仿宋" w:eastAsia="仿宋" w:hAnsi="仿宋"/>
                <w:sz w:val="32"/>
                <w:szCs w:val="32"/>
              </w:rPr>
            </w:pPr>
          </w:p>
        </w:tc>
      </w:tr>
    </w:tbl>
    <w:p>
      <w:pPr>
        <w:pStyle w:val="style0"/>
        <w:spacing w:lineRule="auto" w:line="360"/>
        <w:rPr>
          <w:rFonts w:ascii="仿宋" w:eastAsia="仿宋" w:hAnsi="仿宋"/>
          <w:b/>
          <w:bCs/>
          <w:sz w:val="32"/>
          <w:szCs w:val="32"/>
        </w:rPr>
      </w:pPr>
      <w:r>
        <w:rPr>
          <w:rFonts w:ascii="仿宋" w:eastAsia="仿宋" w:hAnsi="仿宋" w:hint="eastAsia"/>
          <w:bCs/>
          <w:sz w:val="32"/>
          <w:szCs w:val="32"/>
        </w:rPr>
        <w:t>服务费用=基本服务费用</w:t>
      </w:r>
      <w:r>
        <w:rPr>
          <w:rFonts w:ascii="仿宋" w:cs="Arial" w:eastAsia="仿宋" w:hAnsi="仿宋"/>
          <w:bCs/>
          <w:sz w:val="32"/>
          <w:szCs w:val="32"/>
        </w:rPr>
        <w:t>×</w:t>
      </w:r>
      <w:r>
        <w:rPr>
          <w:rFonts w:ascii="仿宋" w:cs="Arial" w:eastAsia="仿宋" w:hAnsi="仿宋" w:hint="eastAsia"/>
          <w:bCs/>
          <w:sz w:val="32"/>
          <w:szCs w:val="32"/>
        </w:rPr>
        <w:t>（100-</w:t>
      </w:r>
      <w:r>
        <w:rPr>
          <w:rFonts w:ascii="仿宋" w:eastAsia="仿宋" w:hAnsi="仿宋" w:hint="eastAsia"/>
          <w:bCs/>
          <w:sz w:val="32"/>
          <w:szCs w:val="32"/>
        </w:rPr>
        <w:t>下浮率）</w:t>
      </w:r>
      <w:r>
        <w:rPr>
          <w:rFonts w:ascii="仿宋" w:cs="Arial" w:eastAsia="仿宋" w:hAnsi="仿宋"/>
          <w:bCs/>
          <w:sz w:val="32"/>
          <w:szCs w:val="32"/>
        </w:rPr>
        <w:t>÷</w:t>
      </w:r>
      <w:r>
        <w:rPr>
          <w:rFonts w:ascii="仿宋" w:eastAsia="仿宋" w:hAnsi="仿宋" w:hint="eastAsia"/>
          <w:bCs/>
          <w:sz w:val="32"/>
          <w:szCs w:val="32"/>
        </w:rPr>
        <w:t>100。</w:t>
      </w:r>
    </w:p>
    <w:p>
      <w:pPr>
        <w:pStyle w:val="style0"/>
        <w:spacing w:lineRule="auto" w:line="360"/>
        <w:ind w:left="105" w:firstLine="640" w:firstLineChars="200"/>
        <w:rPr>
          <w:rFonts w:ascii="黑体" w:eastAsia="黑体" w:hAnsi="黑体"/>
          <w:bCs/>
          <w:sz w:val="32"/>
          <w:szCs w:val="32"/>
        </w:rPr>
      </w:pPr>
      <w:r>
        <w:rPr>
          <w:rFonts w:ascii="黑体" w:eastAsia="黑体" w:hAnsi="黑体" w:hint="eastAsia"/>
          <w:bCs/>
          <w:sz w:val="32"/>
          <w:szCs w:val="32"/>
        </w:rPr>
        <w:t>四、遴选程序</w:t>
      </w:r>
    </w:p>
    <w:p>
      <w:pPr>
        <w:pStyle w:val="style0"/>
        <w:spacing w:lineRule="auto" w:line="360"/>
        <w:ind w:firstLine="643" w:firstLineChars="200"/>
        <w:rPr>
          <w:rFonts w:ascii="仿宋" w:eastAsia="仿宋" w:hAnsi="仿宋"/>
          <w:b/>
          <w:bCs/>
          <w:sz w:val="32"/>
          <w:szCs w:val="32"/>
        </w:rPr>
      </w:pPr>
      <w:r>
        <w:rPr>
          <w:rFonts w:ascii="仿宋" w:eastAsia="仿宋" w:hAnsi="仿宋" w:hint="eastAsia"/>
          <w:b/>
          <w:bCs/>
          <w:sz w:val="32"/>
          <w:szCs w:val="32"/>
        </w:rPr>
        <w:t>（一）报名参选</w:t>
      </w:r>
    </w:p>
    <w:p>
      <w:pPr>
        <w:pStyle w:val="style0"/>
        <w:spacing w:lineRule="auto" w:line="360"/>
        <w:rPr>
          <w:rFonts w:ascii="仿宋" w:eastAsia="仿宋" w:hAnsi="仿宋"/>
          <w:sz w:val="32"/>
          <w:szCs w:val="32"/>
        </w:rPr>
      </w:pPr>
      <w:r>
        <w:rPr>
          <w:rFonts w:ascii="仿宋" w:eastAsia="仿宋" w:hAnsi="仿宋" w:hint="eastAsia"/>
          <w:sz w:val="32"/>
          <w:szCs w:val="32"/>
        </w:rPr>
        <w:t xml:space="preserve">     </w:t>
      </w:r>
      <w:r>
        <w:rPr/>
        <w:fldChar w:fldCharType="begin"/>
      </w:r>
      <w:r>
        <w:instrText xml:space="preserve"> HYPERLINK "mailto:有意参加竞选的单位需先填写本公告附件EXCEl表发到zcb@admin.ecnu.edu.cn报名。" </w:instrText>
      </w:r>
      <w:r>
        <w:rPr/>
        <w:fldChar w:fldCharType="separate"/>
      </w:r>
      <w:r>
        <w:rPr>
          <w:rStyle w:val="style85"/>
          <w:rFonts w:ascii="仿宋" w:eastAsia="仿宋" w:hAnsi="仿宋" w:hint="eastAsia"/>
          <w:sz w:val="32"/>
          <w:szCs w:val="32"/>
        </w:rPr>
        <w:t>有意参加竞选的单位需填写相关的申请表、承诺书。</w:t>
      </w:r>
      <w:r>
        <w:rPr/>
        <w:fldChar w:fldCharType="end"/>
      </w:r>
    </w:p>
    <w:p>
      <w:pPr>
        <w:pStyle w:val="style0"/>
        <w:spacing w:lineRule="auto" w:line="360"/>
        <w:ind w:firstLine="643" w:firstLineChars="200"/>
        <w:rPr>
          <w:rFonts w:ascii="仿宋" w:eastAsia="仿宋" w:hAnsi="仿宋"/>
          <w:b/>
          <w:bCs/>
          <w:sz w:val="32"/>
          <w:szCs w:val="32"/>
        </w:rPr>
      </w:pPr>
      <w:r>
        <w:rPr>
          <w:rFonts w:ascii="仿宋" w:eastAsia="仿宋" w:hAnsi="仿宋" w:hint="eastAsia"/>
          <w:b/>
          <w:bCs/>
          <w:sz w:val="32"/>
          <w:szCs w:val="32"/>
        </w:rPr>
        <w:t>（二）递交响应文件</w:t>
      </w:r>
    </w:p>
    <w:p>
      <w:pPr>
        <w:pStyle w:val="style0"/>
        <w:spacing w:lineRule="auto" w:line="36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响应单位应该于</w:t>
      </w:r>
      <w:r>
        <w:rPr>
          <w:rStyle w:val="style85"/>
          <w:rFonts w:ascii="仿宋" w:eastAsia="仿宋" w:hAnsi="仿宋" w:hint="eastAsia"/>
          <w:sz w:val="32"/>
          <w:szCs w:val="32"/>
        </w:rPr>
        <w:t>2022</w:t>
      </w:r>
      <w:r>
        <w:rPr>
          <w:rStyle w:val="style85"/>
          <w:rFonts w:ascii="仿宋" w:eastAsia="仿宋" w:hAnsi="仿宋" w:hint="eastAsia"/>
          <w:sz w:val="32"/>
          <w:szCs w:val="32"/>
        </w:rPr>
        <w:t>年</w:t>
      </w:r>
      <w:r>
        <w:rPr>
          <w:rStyle w:val="style85"/>
          <w:rFonts w:ascii="仿宋" w:eastAsia="仿宋" w:hAnsi="仿宋" w:hint="eastAsia"/>
          <w:sz w:val="32"/>
          <w:szCs w:val="32"/>
        </w:rPr>
        <w:t>1</w:t>
      </w:r>
      <w:r>
        <w:rPr>
          <w:rStyle w:val="style85"/>
          <w:rFonts w:ascii="仿宋" w:eastAsia="仿宋" w:hAnsi="仿宋" w:hint="eastAsia"/>
          <w:sz w:val="32"/>
          <w:szCs w:val="32"/>
        </w:rPr>
        <w:t>月</w:t>
      </w:r>
      <w:r>
        <w:rPr>
          <w:rStyle w:val="style85"/>
          <w:rFonts w:ascii="仿宋" w:eastAsia="仿宋" w:hAnsi="仿宋" w:hint="default"/>
          <w:sz w:val="32"/>
          <w:szCs w:val="32"/>
          <w:lang w:val="en-US"/>
        </w:rPr>
        <w:t>7</w:t>
      </w:r>
      <w:r>
        <w:rPr>
          <w:rStyle w:val="style85"/>
          <w:rFonts w:ascii="仿宋" w:eastAsia="仿宋" w:hAnsi="仿宋" w:hint="eastAsia"/>
          <w:sz w:val="32"/>
          <w:szCs w:val="32"/>
        </w:rPr>
        <w:t>日</w:t>
      </w:r>
      <w:r>
        <w:rPr>
          <w:rStyle w:val="style85"/>
          <w:rFonts w:ascii="仿宋" w:eastAsia="仿宋" w:hAnsi="仿宋" w:hint="default"/>
          <w:sz w:val="32"/>
          <w:szCs w:val="32"/>
          <w:lang w:val="en-US"/>
        </w:rPr>
        <w:t>17</w:t>
      </w:r>
      <w:r>
        <w:rPr>
          <w:rStyle w:val="style85"/>
          <w:rFonts w:ascii="仿宋" w:eastAsia="仿宋" w:hAnsi="仿宋" w:hint="eastAsia"/>
          <w:sz w:val="32"/>
          <w:szCs w:val="32"/>
        </w:rPr>
        <w:t>:3</w:t>
      </w:r>
      <w:r>
        <w:rPr>
          <w:rFonts w:ascii="仿宋" w:eastAsia="仿宋" w:hAnsi="仿宋" w:hint="eastAsia"/>
          <w:sz w:val="32"/>
          <w:szCs w:val="32"/>
        </w:rPr>
        <w:t>0前将响应文件递交到赣州市章贡区健康路53号赣州市第四中学行知楼副楼三楼总务处办公室（过期不再受理）。响应文件一式五份（一正本4副本，每本应该胶装），密封包装，包装封面必须有相应单位名称、本项目名称以及响应单位公章</w:t>
      </w:r>
      <w:r>
        <w:rPr>
          <w:rFonts w:ascii="仿宋" w:eastAsia="仿宋" w:hAnsi="仿宋" w:hint="eastAsia"/>
          <w:sz w:val="32"/>
          <w:szCs w:val="32"/>
          <w:lang w:eastAsia="zh-CN"/>
        </w:rPr>
        <w:t>、法定代表人、联系方式</w:t>
      </w:r>
      <w:r>
        <w:rPr>
          <w:rFonts w:ascii="仿宋" w:eastAsia="仿宋" w:hAnsi="仿宋" w:hint="eastAsia"/>
          <w:sz w:val="32"/>
          <w:szCs w:val="32"/>
        </w:rPr>
        <w:t>。</w:t>
      </w:r>
    </w:p>
    <w:p>
      <w:pPr>
        <w:pStyle w:val="style0"/>
        <w:spacing w:lineRule="auto" w:line="360"/>
        <w:ind w:firstLine="643" w:firstLineChars="200"/>
        <w:rPr>
          <w:rFonts w:ascii="仿宋" w:eastAsia="仿宋" w:hAnsi="仿宋"/>
          <w:sz w:val="32"/>
          <w:szCs w:val="32"/>
        </w:rPr>
      </w:pPr>
      <w:r>
        <w:rPr>
          <w:rFonts w:ascii="仿宋" w:eastAsia="仿宋" w:hAnsi="仿宋" w:hint="eastAsia"/>
          <w:b/>
          <w:bCs/>
          <w:sz w:val="32"/>
          <w:szCs w:val="32"/>
        </w:rPr>
        <w:t>疫情期间，校外人员进入我校需要提前申请进校许可，请</w:t>
      </w:r>
      <w:r>
        <w:rPr>
          <w:rFonts w:ascii="仿宋" w:eastAsia="仿宋" w:hAnsi="仿宋" w:hint="default"/>
          <w:b/>
          <w:bCs/>
          <w:sz w:val="32"/>
          <w:szCs w:val="32"/>
          <w:lang w:val="en-US"/>
        </w:rPr>
        <w:t>7</w:t>
      </w:r>
      <w:r>
        <w:rPr>
          <w:rFonts w:ascii="仿宋" w:eastAsia="仿宋" w:hAnsi="仿宋" w:hint="eastAsia"/>
          <w:b/>
          <w:bCs/>
          <w:sz w:val="32"/>
          <w:szCs w:val="32"/>
        </w:rPr>
        <w:t>日前来送响应书人员填好附表《“新冠”防疫期间赣州市第四中学进校申请表》以及外地区回赣人员须持核酸检测报告。</w:t>
      </w:r>
    </w:p>
    <w:p>
      <w:pPr>
        <w:pStyle w:val="style0"/>
        <w:spacing w:lineRule="auto" w:line="360"/>
        <w:ind w:firstLine="960" w:firstLineChars="300"/>
        <w:rPr>
          <w:rFonts w:ascii="仿宋" w:eastAsia="仿宋" w:hAnsi="仿宋"/>
          <w:sz w:val="32"/>
          <w:szCs w:val="32"/>
        </w:rPr>
      </w:pPr>
      <w:r>
        <w:rPr>
          <w:rFonts w:ascii="仿宋" w:eastAsia="仿宋" w:hAnsi="仿宋" w:hint="eastAsia"/>
          <w:sz w:val="32"/>
          <w:szCs w:val="32"/>
        </w:rPr>
        <w:t>响应文件应该至少包含以下内容并按照以下格式要求顺序编排，并编好目录和页码。</w:t>
      </w:r>
    </w:p>
    <w:p>
      <w:pPr>
        <w:pStyle w:val="style0"/>
        <w:spacing w:lineRule="auto" w:line="360"/>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1、企业法人营业执照复印件加盖公章；</w:t>
      </w:r>
    </w:p>
    <w:p>
      <w:pPr>
        <w:pStyle w:val="style0"/>
        <w:spacing w:lineRule="auto" w:line="360"/>
        <w:ind w:firstLine="640" w:firstLineChars="200"/>
        <w:rPr>
          <w:rFonts w:ascii="仿宋" w:eastAsia="仿宋" w:hAnsi="仿宋"/>
          <w:sz w:val="32"/>
          <w:szCs w:val="32"/>
        </w:rPr>
      </w:pPr>
      <w:r>
        <w:rPr>
          <w:rFonts w:ascii="仿宋" w:eastAsia="仿宋" w:hAnsi="仿宋"/>
          <w:sz w:val="32"/>
          <w:szCs w:val="32"/>
        </w:rPr>
        <w:t>2、企业资</w:t>
      </w:r>
      <w:r>
        <w:rPr>
          <w:rFonts w:ascii="仿宋" w:eastAsia="仿宋" w:hAnsi="仿宋" w:hint="eastAsia"/>
          <w:sz w:val="32"/>
          <w:szCs w:val="32"/>
        </w:rPr>
        <w:t>格资质</w:t>
      </w:r>
      <w:r>
        <w:rPr>
          <w:rFonts w:ascii="仿宋" w:eastAsia="仿宋" w:hAnsi="仿宋"/>
          <w:sz w:val="32"/>
          <w:szCs w:val="32"/>
        </w:rPr>
        <w:t>证书复印件加盖公章；</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3、单位简介（一般不超过A4纸一页）；</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4、工作内容及费用（按照第三条《服务工作内容和服务费用》格式报下浮率）；</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5</w:t>
      </w:r>
      <w:r>
        <w:rPr>
          <w:rFonts w:ascii="仿宋" w:eastAsia="仿宋" w:hAnsi="仿宋"/>
          <w:sz w:val="32"/>
          <w:szCs w:val="32"/>
        </w:rPr>
        <w:t>、法定代表人</w:t>
      </w:r>
      <w:r>
        <w:rPr>
          <w:rFonts w:ascii="仿宋" w:eastAsia="仿宋" w:hAnsi="仿宋" w:hint="eastAsia"/>
          <w:sz w:val="32"/>
          <w:szCs w:val="32"/>
        </w:rPr>
        <w:t>对负责人</w:t>
      </w:r>
      <w:r>
        <w:rPr>
          <w:rFonts w:ascii="仿宋" w:eastAsia="仿宋" w:hAnsi="仿宋"/>
          <w:sz w:val="32"/>
          <w:szCs w:val="32"/>
        </w:rPr>
        <w:t>授权书原印件加盖公章；</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6</w:t>
      </w:r>
      <w:r>
        <w:rPr>
          <w:rFonts w:ascii="仿宋" w:eastAsia="仿宋" w:hAnsi="仿宋"/>
          <w:sz w:val="32"/>
          <w:szCs w:val="32"/>
        </w:rPr>
        <w:t>、</w:t>
      </w:r>
      <w:r>
        <w:rPr>
          <w:rFonts w:ascii="仿宋" w:eastAsia="仿宋" w:hAnsi="仿宋" w:hint="eastAsia"/>
          <w:sz w:val="32"/>
          <w:szCs w:val="32"/>
        </w:rPr>
        <w:t>负责人</w:t>
      </w:r>
      <w:r>
        <w:rPr>
          <w:rFonts w:ascii="仿宋" w:eastAsia="仿宋" w:hAnsi="仿宋"/>
          <w:sz w:val="32"/>
          <w:szCs w:val="32"/>
        </w:rPr>
        <w:t>身份证复印件加盖公章</w:t>
      </w:r>
      <w:r>
        <w:rPr>
          <w:rFonts w:ascii="仿宋" w:eastAsia="仿宋" w:hAnsi="仿宋" w:hint="eastAsia"/>
          <w:sz w:val="32"/>
          <w:szCs w:val="32"/>
        </w:rPr>
        <w:t>；</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7、负责人介绍（建议就成功的项目分析自己的工作能力、优势和特色）；</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8、负责人执业资格证书复印件；</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9、业绩表：应包含项目名称、项目业主方、项目投资额、开始时间、结束时间、项目实施主要团队成员姓名、项目特征；</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10、如果成功入围并且被学校委托项目，可能的工作团队组成；</w:t>
      </w:r>
    </w:p>
    <w:p>
      <w:pPr>
        <w:pStyle w:val="style0"/>
        <w:spacing w:lineRule="auto" w:line="360"/>
        <w:ind w:firstLine="643" w:firstLineChars="200"/>
        <w:rPr>
          <w:rFonts w:ascii="仿宋" w:eastAsia="仿宋" w:hAnsi="仿宋"/>
          <w:b/>
          <w:bCs/>
          <w:sz w:val="32"/>
          <w:szCs w:val="32"/>
        </w:rPr>
      </w:pPr>
      <w:r>
        <w:rPr>
          <w:rFonts w:ascii="仿宋" w:eastAsia="仿宋" w:hAnsi="仿宋" w:hint="eastAsia"/>
          <w:b/>
          <w:bCs/>
          <w:sz w:val="32"/>
          <w:szCs w:val="32"/>
        </w:rPr>
        <w:t>（三）开启</w:t>
      </w:r>
    </w:p>
    <w:p>
      <w:pPr>
        <w:pStyle w:val="style0"/>
        <w:spacing w:lineRule="auto" w:line="360"/>
        <w:rPr>
          <w:rFonts w:ascii="仿宋" w:eastAsia="仿宋" w:hAnsi="仿宋"/>
          <w:sz w:val="32"/>
          <w:szCs w:val="32"/>
        </w:rPr>
      </w:pPr>
      <w:r>
        <w:rPr>
          <w:rFonts w:ascii="仿宋" w:eastAsia="仿宋" w:hAnsi="仿宋" w:hint="eastAsia"/>
          <w:sz w:val="32"/>
          <w:szCs w:val="32"/>
        </w:rPr>
        <w:t xml:space="preserve">     响应人将响应文件于</w:t>
      </w:r>
      <w:r>
        <w:rPr>
          <w:rStyle w:val="style85"/>
          <w:rFonts w:ascii="仿宋" w:eastAsia="仿宋" w:hAnsi="仿宋" w:hint="eastAsia"/>
          <w:sz w:val="32"/>
          <w:szCs w:val="32"/>
        </w:rPr>
        <w:t>2022</w:t>
      </w:r>
      <w:r>
        <w:rPr>
          <w:rStyle w:val="style85"/>
          <w:rFonts w:ascii="仿宋" w:eastAsia="仿宋" w:hAnsi="仿宋" w:hint="eastAsia"/>
          <w:sz w:val="32"/>
          <w:szCs w:val="32"/>
        </w:rPr>
        <w:t>年</w:t>
      </w:r>
      <w:r>
        <w:rPr>
          <w:rStyle w:val="style85"/>
          <w:rFonts w:ascii="仿宋" w:eastAsia="仿宋" w:hAnsi="仿宋" w:hint="eastAsia"/>
          <w:sz w:val="32"/>
          <w:szCs w:val="32"/>
        </w:rPr>
        <w:t>1</w:t>
      </w:r>
      <w:r>
        <w:rPr>
          <w:rStyle w:val="style85"/>
          <w:rFonts w:ascii="仿宋" w:eastAsia="仿宋" w:hAnsi="仿宋" w:hint="eastAsia"/>
          <w:sz w:val="32"/>
          <w:szCs w:val="32"/>
        </w:rPr>
        <w:t>月</w:t>
      </w:r>
      <w:r>
        <w:rPr>
          <w:rStyle w:val="style85"/>
          <w:rFonts w:ascii="仿宋" w:eastAsia="仿宋" w:hAnsi="仿宋" w:hint="default"/>
          <w:sz w:val="32"/>
          <w:szCs w:val="32"/>
          <w:lang w:val="en-US"/>
        </w:rPr>
        <w:t>7</w:t>
      </w:r>
      <w:r>
        <w:rPr>
          <w:rStyle w:val="style85"/>
          <w:rFonts w:ascii="仿宋" w:eastAsia="仿宋" w:hAnsi="仿宋" w:hint="eastAsia"/>
          <w:sz w:val="32"/>
          <w:szCs w:val="32"/>
        </w:rPr>
        <w:t>日</w:t>
      </w:r>
      <w:r>
        <w:rPr>
          <w:rStyle w:val="style85"/>
          <w:rFonts w:ascii="仿宋" w:eastAsia="仿宋" w:hAnsi="仿宋" w:hint="default"/>
          <w:sz w:val="32"/>
          <w:szCs w:val="32"/>
          <w:lang w:val="en-US"/>
        </w:rPr>
        <w:t>17</w:t>
      </w:r>
      <w:r>
        <w:rPr>
          <w:rStyle w:val="style85"/>
          <w:rFonts w:ascii="仿宋" w:eastAsia="仿宋" w:hAnsi="仿宋" w:hint="eastAsia"/>
          <w:sz w:val="32"/>
          <w:szCs w:val="32"/>
        </w:rPr>
        <w:t>:3</w:t>
      </w:r>
      <w:r>
        <w:rPr>
          <w:rFonts w:ascii="仿宋" w:eastAsia="仿宋" w:hAnsi="仿宋" w:hint="eastAsia"/>
          <w:sz w:val="32"/>
          <w:szCs w:val="32"/>
        </w:rPr>
        <w:t>0前递交到赣州市章贡区健康路53号赣州市第四中学行知楼副楼三楼总务处办公室，交接后即可离开。赣州市第四中学总务处将</w:t>
      </w:r>
      <w:r>
        <w:rPr>
          <w:rFonts w:ascii="仿宋" w:eastAsia="仿宋" w:hAnsi="仿宋" w:hint="eastAsia"/>
          <w:sz w:val="32"/>
          <w:szCs w:val="32"/>
        </w:rPr>
        <w:t>在1月1</w:t>
      </w:r>
      <w:r>
        <w:rPr>
          <w:rFonts w:ascii="仿宋" w:eastAsia="仿宋" w:hAnsi="仿宋" w:hint="default"/>
          <w:sz w:val="32"/>
          <w:szCs w:val="32"/>
          <w:lang w:val="en-US"/>
        </w:rPr>
        <w:t>0</w:t>
      </w:r>
      <w:r>
        <w:rPr>
          <w:rFonts w:ascii="仿宋" w:eastAsia="仿宋" w:hAnsi="仿宋" w:hint="eastAsia"/>
          <w:sz w:val="32"/>
          <w:szCs w:val="32"/>
        </w:rPr>
        <w:t>日</w:t>
      </w:r>
      <w:r>
        <w:rPr>
          <w:rFonts w:ascii="仿宋" w:eastAsia="仿宋" w:hAnsi="仿宋" w:hint="eastAsia"/>
          <w:sz w:val="32"/>
          <w:szCs w:val="32"/>
        </w:rPr>
        <w:t>聘请第三方招标代理机构（不含此次参加遴选</w:t>
      </w:r>
      <w:r>
        <w:rPr>
          <w:rFonts w:ascii="仿宋" w:eastAsia="仿宋" w:hAnsi="仿宋" w:hint="eastAsia"/>
          <w:sz w:val="32"/>
          <w:szCs w:val="32"/>
        </w:rPr>
        <w:t>招标代理机构）进行资格审查和公开遴选，资格审查未通过的将以电话形式告知。通过资格审查的响应人公开遴选，参照相应的评分项进行评分，按照得分由高到低决定入围名单。</w:t>
      </w:r>
    </w:p>
    <w:p>
      <w:pPr>
        <w:pStyle w:val="style0"/>
        <w:spacing w:lineRule="auto" w:line="360"/>
        <w:rPr>
          <w:rFonts w:ascii="仿宋" w:eastAsia="仿宋" w:hAnsi="仿宋"/>
          <w:sz w:val="32"/>
          <w:szCs w:val="32"/>
        </w:rPr>
      </w:pPr>
      <w:r>
        <w:rPr>
          <w:rFonts w:ascii="仿宋" w:eastAsia="仿宋" w:hAnsi="仿宋" w:hint="default"/>
          <w:b/>
          <w:bCs/>
          <w:sz w:val="32"/>
          <w:szCs w:val="32"/>
          <w:lang w:val="en-US"/>
        </w:rPr>
        <w:t xml:space="preserve">   </w:t>
      </w:r>
      <w:r>
        <w:rPr>
          <w:rFonts w:ascii="仿宋" w:eastAsia="仿宋" w:hAnsi="仿宋" w:hint="eastAsia"/>
          <w:b/>
          <w:bCs/>
          <w:sz w:val="32"/>
          <w:szCs w:val="32"/>
        </w:rPr>
        <w:t>（四）公告通知</w:t>
      </w:r>
    </w:p>
    <w:p>
      <w:pPr>
        <w:pStyle w:val="style0"/>
        <w:spacing w:lineRule="auto" w:line="360"/>
        <w:ind w:left="105" w:firstLine="640" w:firstLineChars="200"/>
        <w:rPr>
          <w:rFonts w:ascii="仿宋" w:eastAsia="仿宋" w:hAnsi="仿宋"/>
          <w:sz w:val="32"/>
          <w:szCs w:val="32"/>
        </w:rPr>
      </w:pPr>
      <w:r>
        <w:rPr>
          <w:rFonts w:ascii="仿宋" w:eastAsia="仿宋" w:hAnsi="仿宋" w:hint="eastAsia"/>
          <w:sz w:val="32"/>
          <w:szCs w:val="32"/>
        </w:rPr>
        <w:t>赣州市第四中学将在赣州市第四中学</w:t>
      </w:r>
      <w:r>
        <w:rPr>
          <w:rFonts w:ascii="仿宋" w:eastAsia="仿宋" w:hAnsi="仿宋" w:hint="eastAsia"/>
          <w:sz w:val="32"/>
          <w:szCs w:val="32"/>
        </w:rPr>
        <w:t>校园网公告入围名单，未入围的单位将不再公告，也不再给予回复通知。</w:t>
      </w:r>
    </w:p>
    <w:p>
      <w:pPr>
        <w:pStyle w:val="style0"/>
        <w:spacing w:lineRule="auto" w:line="360"/>
        <w:ind w:left="105" w:firstLine="640" w:firstLineChars="200"/>
        <w:rPr>
          <w:rFonts w:ascii="黑体" w:eastAsia="黑体" w:hAnsi="黑体"/>
          <w:bCs/>
          <w:sz w:val="32"/>
          <w:szCs w:val="32"/>
        </w:rPr>
      </w:pPr>
      <w:r>
        <w:rPr>
          <w:rFonts w:ascii="黑体" w:eastAsia="黑体" w:hAnsi="黑体" w:hint="eastAsia"/>
          <w:bCs/>
          <w:sz w:val="32"/>
          <w:szCs w:val="32"/>
        </w:rPr>
        <w:t>五、入围供应商的使用</w:t>
      </w:r>
    </w:p>
    <w:p>
      <w:pPr>
        <w:pStyle w:val="style0"/>
        <w:spacing w:lineRule="auto" w:line="360"/>
        <w:ind w:left="105" w:firstLine="640" w:firstLineChars="200"/>
        <w:rPr>
          <w:rFonts w:ascii="仿宋" w:eastAsia="仿宋" w:hAnsi="仿宋"/>
          <w:sz w:val="32"/>
          <w:szCs w:val="32"/>
        </w:rPr>
      </w:pPr>
      <w:r>
        <w:rPr>
          <w:rFonts w:ascii="仿宋" w:eastAsia="仿宋" w:hAnsi="仿宋" w:hint="eastAsia"/>
          <w:sz w:val="32"/>
          <w:szCs w:val="32"/>
        </w:rPr>
        <w:t>本次遴选结果也不签订框架合同，具体委托项目时，由委托处室跟招标代理服务机构签订具体委托合同。</w:t>
      </w:r>
    </w:p>
    <w:p>
      <w:pPr>
        <w:pStyle w:val="style0"/>
        <w:spacing w:lineRule="auto" w:line="360"/>
        <w:ind w:left="105" w:firstLine="640" w:firstLineChars="200"/>
        <w:rPr>
          <w:rFonts w:ascii="黑体" w:eastAsia="黑体" w:hAnsi="黑体"/>
          <w:bCs/>
          <w:sz w:val="32"/>
          <w:szCs w:val="32"/>
        </w:rPr>
      </w:pPr>
      <w:r>
        <w:rPr>
          <w:rFonts w:ascii="黑体" w:eastAsia="黑体" w:hAnsi="黑体" w:hint="eastAsia"/>
          <w:bCs/>
          <w:sz w:val="32"/>
          <w:szCs w:val="32"/>
        </w:rPr>
        <w:t>六、时限：</w:t>
      </w:r>
    </w:p>
    <w:p>
      <w:pPr>
        <w:pStyle w:val="style0"/>
        <w:spacing w:lineRule="auto" w:line="360"/>
        <w:ind w:firstLine="640" w:firstLineChars="200"/>
        <w:rPr>
          <w:rFonts w:ascii="仿宋" w:eastAsia="仿宋" w:hAnsi="仿宋"/>
          <w:sz w:val="32"/>
          <w:szCs w:val="32"/>
        </w:rPr>
      </w:pPr>
      <w:r>
        <w:rPr>
          <w:rFonts w:ascii="仿宋" w:eastAsia="仿宋" w:hAnsi="仿宋" w:hint="eastAsia"/>
          <w:sz w:val="32"/>
          <w:szCs w:val="32"/>
        </w:rPr>
        <w:t>本次遴选有效期</w:t>
      </w:r>
      <w:r>
        <w:rPr>
          <w:rFonts w:ascii="仿宋" w:eastAsia="仿宋" w:hAnsi="仿宋" w:hint="eastAsia"/>
          <w:sz w:val="32"/>
          <w:szCs w:val="32"/>
        </w:rPr>
        <w:t>为2</w:t>
      </w:r>
      <w:r>
        <w:rPr>
          <w:rFonts w:ascii="仿宋" w:eastAsia="仿宋" w:hAnsi="仿宋" w:hint="eastAsia"/>
          <w:sz w:val="32"/>
          <w:szCs w:val="32"/>
        </w:rPr>
        <w:t>年。</w:t>
      </w:r>
    </w:p>
    <w:p>
      <w:pPr>
        <w:pStyle w:val="style0"/>
        <w:spacing w:lineRule="auto" w:line="360"/>
        <w:rPr>
          <w:rFonts w:ascii="仿宋" w:eastAsia="仿宋" w:hAnsi="仿宋"/>
          <w:sz w:val="32"/>
          <w:szCs w:val="32"/>
        </w:rPr>
      </w:pPr>
      <w:r>
        <w:rPr>
          <w:rFonts w:ascii="仿宋" w:eastAsia="仿宋" w:hAnsi="仿宋" w:hint="eastAsia"/>
          <w:sz w:val="32"/>
          <w:szCs w:val="32"/>
        </w:rPr>
        <w:t xml:space="preserve">    </w:t>
      </w:r>
    </w:p>
    <w:p>
      <w:pPr>
        <w:pStyle w:val="style0"/>
        <w:spacing w:lineRule="auto" w:line="360"/>
        <w:ind w:firstLine="5120" w:firstLineChars="1600"/>
        <w:rPr>
          <w:rFonts w:ascii="仿宋" w:eastAsia="仿宋" w:hAnsi="仿宋"/>
          <w:sz w:val="32"/>
          <w:szCs w:val="32"/>
        </w:rPr>
      </w:pPr>
      <w:r>
        <w:rPr>
          <w:rFonts w:ascii="仿宋" w:eastAsia="仿宋" w:hAnsi="仿宋" w:hint="eastAsia"/>
          <w:sz w:val="32"/>
          <w:szCs w:val="32"/>
        </w:rPr>
        <w:t>赣州市第四中学</w:t>
      </w:r>
    </w:p>
    <w:p>
      <w:pPr>
        <w:pStyle w:val="style0"/>
        <w:spacing w:lineRule="auto" w:line="360"/>
        <w:ind w:firstLine="5120" w:firstLineChars="160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年1月</w:t>
      </w:r>
      <w:r>
        <w:rPr>
          <w:rFonts w:ascii="仿宋" w:eastAsia="仿宋" w:hAnsi="仿宋" w:hint="eastAsia"/>
          <w:sz w:val="32"/>
          <w:szCs w:val="32"/>
        </w:rPr>
        <w:t>4</w:t>
      </w:r>
      <w:r>
        <w:rPr>
          <w:rFonts w:ascii="仿宋" w:eastAsia="仿宋" w:hAnsi="仿宋" w:hint="eastAsia"/>
          <w:sz w:val="32"/>
          <w:szCs w:val="32"/>
        </w:rPr>
        <w:t>日</w:t>
      </w:r>
    </w:p>
    <w:p>
      <w:pPr>
        <w:pStyle w:val="style0"/>
        <w:spacing w:lineRule="auto" w:line="360"/>
        <w:ind w:firstLine="420" w:firstLineChars="200"/>
        <w:rPr/>
      </w:pPr>
    </w:p>
    <w:p>
      <w:pPr>
        <w:pStyle w:val="style0"/>
        <w:spacing w:lineRule="exact" w:line="500"/>
        <w:rPr/>
      </w:pPr>
    </w:p>
    <w:p>
      <w:pPr>
        <w:pStyle w:val="style0"/>
        <w:ind w:firstLine="420" w:firstLineChars="200"/>
        <w:rPr/>
      </w:pPr>
    </w:p>
    <w:sectPr>
      <w:pgSz w:w="11906" w:h="16838" w:orient="portrait"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Calibri">
    <w:altName w:val="Calibri"/>
    <w:panose1 w:val="020f0502020002030204"/>
    <w:charset w:val="00"/>
    <w:family w:val="swiss"/>
    <w:pitch w:val="variable"/>
    <w:sig w:usb0="E0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黑体">
    <w:altName w:val="SimHei"/>
    <w:panose1 w:val="02010609060001010101"/>
    <w:charset w:val="86"/>
    <w:family w:val="modern"/>
    <w:pitch w:val="fixed"/>
    <w:sig w:usb0="800002BF" w:usb1="38CF7CFA" w:usb2="00000016" w:usb3="00000000" w:csb0="00040001" w:csb1="00000000"/>
  </w:font>
  <w:font w:name="仿宋">
    <w:altName w:val="仿宋"/>
    <w:panose1 w:val="02010609060001010101"/>
    <w:charset w:val="86"/>
    <w:family w:val="modern"/>
    <w:pitch w:val="fixed"/>
    <w:sig w:usb0="800002BF" w:usb1="38CF7CFA" w:usb2="00000016" w:usb3="00000000" w:csb0="00040001" w:csb1="00000000"/>
  </w:font>
  <w:font w:name="Arial">
    <w:altName w:val="Arial"/>
    <w:panose1 w:val="020b0604020002020204"/>
    <w:charset w:val="00"/>
    <w:family w:val="swiss"/>
    <w:pitch w:val="variable"/>
    <w:sig w:usb0="E0002EFF" w:usb1="C000785B" w:usb2="00000009" w:usb3="00000000" w:csb0="000001F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algun Gothic Semilight">
    <w:altName w:val="Malgun Gothic Semilight"/>
    <w:panose1 w:val="020b0502040002020203"/>
    <w:charset w:val="86"/>
    <w:family w:val="swiss"/>
    <w:pitch w:val="variable"/>
    <w:sig w:usb0="B0000AAF" w:usb1="09DF7CFB" w:usb2="00000012" w:usb3="00000000" w:csb0="003E01BD" w:csb1="00000000"/>
  </w:font>
  <w:font w:name="Cambria">
    <w:altName w:val="Cambria"/>
    <w:panose1 w:val="02040503050004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DBE7BDA2"/>
    <w:lvl w:ilvl="0">
      <w:start w:val="3"/>
      <w:numFmt w:val="chineseCounting"/>
      <w:suff w:val="nothing"/>
      <w:lvlText w:val="%1、"/>
      <w:lvlJc w:val="left"/>
      <w:pPr/>
      <w:rPr>
        <w:rFonts w:hint="eastAsia"/>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rPr>
      <w:color w:val="000000"/>
      <w:sz w:val="21"/>
      <w:szCs w:val="21"/>
      <w:u w:val="non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1686</Words>
  <Pages>7</Pages>
  <Characters>1762</Characters>
  <Application>WPS Office</Application>
  <DocSecurity>0</DocSecurity>
  <Paragraphs>113</Paragraphs>
  <ScaleCrop>false</ScaleCrop>
  <LinksUpToDate>false</LinksUpToDate>
  <CharactersWithSpaces>1793</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2022-01-04T06:16:00Z</dcterms:created>
  <dc:creator>Administrator</dc:creator>
  <lastModifiedBy>TAS-AN00</lastModifiedBy>
  <lastPrinted>2021-12-23T08:37:00Z</lastPrinted>
  <dcterms:modified xsi:type="dcterms:W3CDTF">2022-01-04T08:35:55Z</dcterms:modified>
  <revision>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c929d7e40a7b4c77ae831843af4b4c4f</vt:lpwstr>
  </property>
</Properties>
</file>